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B2B" w:rsidRPr="009134A2" w:rsidRDefault="00DB2D41">
      <w:pPr>
        <w:rPr>
          <w:rFonts w:ascii="TheSans UHH" w:hAnsi="TheSans UHH" w:cs="Arial"/>
          <w:b/>
          <w:sz w:val="24"/>
          <w:szCs w:val="24"/>
          <w:lang w:val="en-US"/>
        </w:rPr>
      </w:pPr>
      <w:r>
        <w:rPr>
          <w:rFonts w:ascii="TheSans UHH" w:hAnsi="TheSans UHH" w:cs="Arial"/>
          <w:b/>
          <w:sz w:val="24"/>
          <w:szCs w:val="24"/>
          <w:lang w:val="en-US"/>
        </w:rPr>
        <w:t xml:space="preserve">Andreas Lange: </w:t>
      </w:r>
      <w:r w:rsidR="007D373C" w:rsidRPr="009134A2">
        <w:rPr>
          <w:rFonts w:ascii="TheSans UHH" w:hAnsi="TheSans UHH" w:cs="Arial"/>
          <w:b/>
          <w:sz w:val="24"/>
          <w:szCs w:val="24"/>
          <w:lang w:val="en-US"/>
        </w:rPr>
        <w:t>Behavioral Economics of Climate and Energy Policies</w:t>
      </w:r>
    </w:p>
    <w:p w:rsidR="007D373C" w:rsidRPr="009134A2" w:rsidRDefault="007D373C">
      <w:pPr>
        <w:rPr>
          <w:rFonts w:ascii="TheSans UHH" w:hAnsi="TheSans UHH" w:cs="Arial"/>
          <w:b/>
          <w:sz w:val="24"/>
          <w:szCs w:val="24"/>
          <w:lang w:val="en-US"/>
        </w:rPr>
      </w:pPr>
    </w:p>
    <w:p w:rsidR="00187EFA" w:rsidRPr="009134A2" w:rsidRDefault="00E12376">
      <w:pPr>
        <w:rPr>
          <w:rFonts w:ascii="TheSans UHH" w:hAnsi="TheSans UHH" w:cs="Arial"/>
          <w:b/>
          <w:sz w:val="24"/>
          <w:szCs w:val="24"/>
          <w:lang w:val="en-US"/>
        </w:rPr>
      </w:pPr>
      <w:r w:rsidRPr="009134A2">
        <w:rPr>
          <w:rFonts w:ascii="TheSans UHH" w:hAnsi="TheSans UHH" w:cs="Arial"/>
          <w:b/>
          <w:sz w:val="24"/>
          <w:szCs w:val="24"/>
          <w:lang w:val="en-US"/>
        </w:rPr>
        <w:t>Cooperation and Burden sharing</w:t>
      </w:r>
    </w:p>
    <w:p w:rsidR="001855CC" w:rsidRPr="009134A2" w:rsidRDefault="001855CC" w:rsidP="001855CC">
      <w:pPr>
        <w:autoSpaceDE w:val="0"/>
        <w:autoSpaceDN w:val="0"/>
        <w:adjustRightInd w:val="0"/>
        <w:spacing w:before="120"/>
        <w:jc w:val="both"/>
        <w:rPr>
          <w:rFonts w:ascii="TheSans UHH" w:hAnsi="TheSans UHH" w:cs="Arial"/>
          <w:sz w:val="24"/>
          <w:szCs w:val="24"/>
          <w:lang w:val="en-US"/>
        </w:rPr>
      </w:pPr>
      <w:r>
        <w:rPr>
          <w:rFonts w:ascii="TheSans UHH" w:hAnsi="TheSans UHH" w:cs="Arial"/>
          <w:sz w:val="24"/>
          <w:szCs w:val="24"/>
          <w:lang w:val="en-US"/>
        </w:rPr>
        <w:t>**</w:t>
      </w:r>
      <w:r w:rsidRPr="009134A2">
        <w:rPr>
          <w:rFonts w:ascii="TheSans UHH" w:hAnsi="TheSans UHH" w:cs="Arial"/>
          <w:sz w:val="24"/>
          <w:szCs w:val="24"/>
          <w:lang w:val="en-US"/>
        </w:rPr>
        <w:t xml:space="preserve">Lange, Andreas, Andreas Löschel, Carsten Vogt and Andreas Ziegler, “On the Self-interested Use of Equity in International Climate Negotiations”, </w:t>
      </w:r>
      <w:r w:rsidRPr="009134A2">
        <w:rPr>
          <w:rFonts w:ascii="TheSans UHH" w:hAnsi="TheSans UHH" w:cs="Arial"/>
          <w:i/>
          <w:sz w:val="24"/>
          <w:szCs w:val="24"/>
          <w:lang w:val="en-US"/>
        </w:rPr>
        <w:t>European Economic Review</w:t>
      </w:r>
      <w:r w:rsidRPr="009134A2">
        <w:rPr>
          <w:rFonts w:ascii="TheSans UHH" w:hAnsi="TheSans UHH" w:cs="Arial"/>
          <w:sz w:val="24"/>
          <w:szCs w:val="24"/>
          <w:lang w:val="en-US"/>
        </w:rPr>
        <w:t xml:space="preserve"> 54, 2010, 359-375.</w:t>
      </w:r>
    </w:p>
    <w:p w:rsidR="007D373C" w:rsidRPr="009134A2" w:rsidRDefault="00FF078B">
      <w:pPr>
        <w:rPr>
          <w:rFonts w:ascii="TheSans UHH" w:hAnsi="TheSans UHH" w:cs="Arial"/>
          <w:sz w:val="24"/>
          <w:szCs w:val="24"/>
          <w:lang w:val="en-US"/>
        </w:rPr>
      </w:pPr>
      <w:r>
        <w:rPr>
          <w:rFonts w:ascii="TheSans UHH" w:hAnsi="TheSans UHH" w:cs="Arial"/>
          <w:sz w:val="24"/>
          <w:szCs w:val="24"/>
          <w:lang w:val="en-US"/>
        </w:rPr>
        <w:t>*</w:t>
      </w:r>
      <w:r w:rsidR="00187EFA" w:rsidRPr="009134A2">
        <w:rPr>
          <w:rFonts w:ascii="TheSans UHH" w:hAnsi="TheSans UHH" w:cs="Arial"/>
          <w:sz w:val="24"/>
          <w:szCs w:val="24"/>
          <w:lang w:val="en-US"/>
        </w:rPr>
        <w:t xml:space="preserve">Lange, Andreas and Carsten Vogt, “Cooperation in International Environmental Negotiations due to a Preference for Equity”, </w:t>
      </w:r>
      <w:r w:rsidR="00187EFA" w:rsidRPr="009134A2">
        <w:rPr>
          <w:rFonts w:ascii="TheSans UHH" w:hAnsi="TheSans UHH" w:cs="Arial"/>
          <w:i/>
          <w:sz w:val="24"/>
          <w:szCs w:val="24"/>
          <w:lang w:val="en-US"/>
        </w:rPr>
        <w:t>Journal of Public Economics</w:t>
      </w:r>
      <w:r w:rsidR="00187EFA" w:rsidRPr="009134A2">
        <w:rPr>
          <w:rFonts w:ascii="TheSans UHH" w:hAnsi="TheSans UHH" w:cs="Arial"/>
          <w:sz w:val="24"/>
          <w:szCs w:val="24"/>
          <w:lang w:val="en-US"/>
        </w:rPr>
        <w:t xml:space="preserve"> 87, 2003, 2049-2067.</w:t>
      </w:r>
    </w:p>
    <w:p w:rsidR="00187EFA" w:rsidRPr="009134A2" w:rsidRDefault="00187EFA">
      <w:pPr>
        <w:rPr>
          <w:rFonts w:ascii="TheSans UHH" w:hAnsi="TheSans UHH" w:cs="Arial"/>
          <w:sz w:val="24"/>
          <w:szCs w:val="24"/>
          <w:lang w:val="en-US"/>
        </w:rPr>
      </w:pPr>
      <w:r w:rsidRPr="009134A2">
        <w:rPr>
          <w:rFonts w:ascii="TheSans UHH" w:hAnsi="TheSans UHH" w:cs="Arial"/>
          <w:sz w:val="24"/>
          <w:szCs w:val="24"/>
          <w:lang w:val="en-US"/>
        </w:rPr>
        <w:t xml:space="preserve">Dannenberg, Astrid, Andreas Lange, and Bodo Sturm, “Participation and Commitment in Voluntary Coalitions to Provide Public Goods”, </w:t>
      </w:r>
      <w:r w:rsidRPr="009134A2">
        <w:rPr>
          <w:rFonts w:ascii="TheSans UHH" w:hAnsi="TheSans UHH" w:cs="Arial"/>
          <w:i/>
          <w:sz w:val="24"/>
          <w:szCs w:val="24"/>
          <w:lang w:val="en-US"/>
        </w:rPr>
        <w:t>Economica</w:t>
      </w:r>
      <w:r w:rsidRPr="009134A2">
        <w:rPr>
          <w:rFonts w:ascii="TheSans UHH" w:hAnsi="TheSans UHH" w:cs="Arial"/>
          <w:sz w:val="24"/>
          <w:szCs w:val="24"/>
          <w:lang w:val="en-US"/>
        </w:rPr>
        <w:t xml:space="preserve"> 81, 2014, 257-275.</w:t>
      </w:r>
    </w:p>
    <w:p w:rsidR="00187EFA" w:rsidRPr="009134A2" w:rsidRDefault="00187EFA" w:rsidP="00187EFA">
      <w:pPr>
        <w:tabs>
          <w:tab w:val="center" w:pos="1985"/>
        </w:tabs>
        <w:spacing w:before="120"/>
        <w:jc w:val="both"/>
        <w:rPr>
          <w:rFonts w:ascii="TheSans UHH" w:hAnsi="TheSans UHH" w:cs="Arial"/>
          <w:sz w:val="24"/>
          <w:szCs w:val="24"/>
          <w:lang w:val="en-US"/>
        </w:rPr>
      </w:pPr>
      <w:r w:rsidRPr="009134A2">
        <w:rPr>
          <w:rFonts w:ascii="TheSans UHH" w:hAnsi="TheSans UHH" w:cs="Arial"/>
          <w:sz w:val="24"/>
          <w:szCs w:val="24"/>
          <w:lang w:val="en-US"/>
        </w:rPr>
        <w:t xml:space="preserve">Kesternich, Martin, Andreas Lange, and Bodo Sturm, “The Impact of Burden Sharing Rules on the Voluntary Provision of Public Goods”. </w:t>
      </w:r>
      <w:r w:rsidRPr="009134A2">
        <w:rPr>
          <w:rFonts w:ascii="TheSans UHH" w:hAnsi="TheSans UHH" w:cs="Arial"/>
          <w:i/>
          <w:sz w:val="24"/>
          <w:szCs w:val="24"/>
          <w:lang w:val="en-US"/>
        </w:rPr>
        <w:t xml:space="preserve">Journal of Economic Behavior and Organization </w:t>
      </w:r>
      <w:r w:rsidRPr="009134A2">
        <w:rPr>
          <w:rFonts w:ascii="TheSans UHH" w:hAnsi="TheSans UHH" w:cs="Arial"/>
          <w:sz w:val="24"/>
          <w:szCs w:val="24"/>
          <w:lang w:val="en-US"/>
        </w:rPr>
        <w:t>105, 2014, 107-123.</w:t>
      </w:r>
      <w:r w:rsidRPr="009134A2">
        <w:rPr>
          <w:rFonts w:ascii="TheSans UHH" w:hAnsi="TheSans UHH" w:cs="Arial"/>
          <w:i/>
          <w:sz w:val="24"/>
          <w:szCs w:val="24"/>
          <w:lang w:val="en-US"/>
        </w:rPr>
        <w:t xml:space="preserve"> </w:t>
      </w:r>
    </w:p>
    <w:p w:rsidR="00187EFA" w:rsidRPr="009134A2" w:rsidRDefault="00187EFA">
      <w:pPr>
        <w:rPr>
          <w:rFonts w:ascii="TheSans UHH" w:hAnsi="TheSans UHH" w:cs="Arial"/>
          <w:sz w:val="24"/>
          <w:szCs w:val="24"/>
          <w:lang w:val="en-US"/>
        </w:rPr>
      </w:pPr>
    </w:p>
    <w:p w:rsidR="00187EFA" w:rsidRPr="009134A2" w:rsidRDefault="00187EFA">
      <w:pPr>
        <w:rPr>
          <w:rFonts w:ascii="TheSans UHH" w:hAnsi="TheSans UHH" w:cs="Arial"/>
          <w:b/>
          <w:sz w:val="24"/>
          <w:szCs w:val="24"/>
          <w:lang w:val="en-US"/>
        </w:rPr>
      </w:pPr>
      <w:r w:rsidRPr="009134A2">
        <w:rPr>
          <w:rFonts w:ascii="TheSans UHH" w:hAnsi="TheSans UHH" w:cs="Arial"/>
          <w:b/>
          <w:sz w:val="24"/>
          <w:szCs w:val="24"/>
          <w:lang w:val="en-US"/>
        </w:rPr>
        <w:t>Social Norms</w:t>
      </w:r>
      <w:r w:rsidR="00E12376" w:rsidRPr="009134A2">
        <w:rPr>
          <w:rFonts w:ascii="TheSans UHH" w:hAnsi="TheSans UHH" w:cs="Arial"/>
          <w:b/>
          <w:sz w:val="24"/>
          <w:szCs w:val="24"/>
          <w:lang w:val="en-US"/>
        </w:rPr>
        <w:t xml:space="preserve"> &amp; Dynamics</w:t>
      </w:r>
    </w:p>
    <w:p w:rsidR="00187EFA" w:rsidRPr="009134A2" w:rsidRDefault="00643467">
      <w:pPr>
        <w:rPr>
          <w:rFonts w:ascii="TheSans UHH" w:hAnsi="TheSans UHH" w:cs="Arial"/>
          <w:sz w:val="24"/>
          <w:szCs w:val="24"/>
        </w:rPr>
      </w:pPr>
      <w:r w:rsidRPr="009134A2">
        <w:rPr>
          <w:rFonts w:ascii="TheSans UHH" w:hAnsi="TheSans UHH" w:cs="Arial"/>
          <w:sz w:val="24"/>
          <w:szCs w:val="24"/>
          <w:lang w:val="en-US"/>
        </w:rPr>
        <w:t>*</w:t>
      </w:r>
      <w:r w:rsidR="001855CC">
        <w:rPr>
          <w:rFonts w:ascii="TheSans UHH" w:hAnsi="TheSans UHH" w:cs="Arial"/>
          <w:sz w:val="24"/>
          <w:szCs w:val="24"/>
          <w:lang w:val="en-US"/>
        </w:rPr>
        <w:t>*</w:t>
      </w:r>
      <w:r w:rsidR="00187EFA" w:rsidRPr="009134A2">
        <w:rPr>
          <w:rFonts w:ascii="TheSans UHH" w:hAnsi="TheSans UHH" w:cs="Arial"/>
          <w:sz w:val="24"/>
          <w:szCs w:val="24"/>
          <w:lang w:val="en-US"/>
        </w:rPr>
        <w:t xml:space="preserve">Nyborg, Karine, et al. "Social norms as solutions." </w:t>
      </w:r>
      <w:r w:rsidR="00187EFA" w:rsidRPr="009134A2">
        <w:rPr>
          <w:rFonts w:ascii="TheSans UHH" w:hAnsi="TheSans UHH" w:cs="Arial"/>
          <w:i/>
          <w:iCs/>
          <w:sz w:val="24"/>
          <w:szCs w:val="24"/>
        </w:rPr>
        <w:t>Science</w:t>
      </w:r>
      <w:r w:rsidR="00187EFA" w:rsidRPr="009134A2">
        <w:rPr>
          <w:rFonts w:ascii="TheSans UHH" w:hAnsi="TheSans UHH" w:cs="Arial"/>
          <w:sz w:val="24"/>
          <w:szCs w:val="24"/>
        </w:rPr>
        <w:t xml:space="preserve"> 354.6308 (2016): 42-43.</w:t>
      </w:r>
    </w:p>
    <w:p w:rsidR="00187EFA" w:rsidRPr="009134A2" w:rsidRDefault="002F49DD" w:rsidP="00187EFA">
      <w:pPr>
        <w:spacing w:before="120"/>
        <w:jc w:val="both"/>
        <w:rPr>
          <w:rFonts w:ascii="TheSans UHH" w:hAnsi="TheSans UHH" w:cs="Arial"/>
          <w:sz w:val="24"/>
          <w:szCs w:val="24"/>
          <w:lang w:val="en-US"/>
        </w:rPr>
      </w:pPr>
      <w:r>
        <w:rPr>
          <w:rFonts w:ascii="TheSans UHH" w:hAnsi="TheSans UHH" w:cs="Arial"/>
          <w:sz w:val="24"/>
          <w:szCs w:val="24"/>
          <w:lang w:val="en-US"/>
        </w:rPr>
        <w:t>*</w:t>
      </w:r>
      <w:r w:rsidR="00187EFA" w:rsidRPr="009134A2">
        <w:rPr>
          <w:rFonts w:ascii="TheSans UHH" w:hAnsi="TheSans UHH" w:cs="Arial"/>
          <w:sz w:val="24"/>
          <w:szCs w:val="24"/>
          <w:lang w:val="en-US"/>
        </w:rPr>
        <w:t>Hintermann, Beat and Andreas Lange, “Dynamic Policy Choices in Presence of Social Norms”.</w:t>
      </w:r>
      <w:r w:rsidR="00187EFA" w:rsidRPr="009134A2">
        <w:rPr>
          <w:rFonts w:ascii="TheSans UHH" w:hAnsi="TheSans UHH" w:cs="Arial"/>
          <w:sz w:val="24"/>
          <w:szCs w:val="24"/>
          <w:lang w:val="en-US"/>
        </w:rPr>
        <w:t xml:space="preserve"> Working Paper</w:t>
      </w:r>
      <w:r w:rsidR="006C5068">
        <w:rPr>
          <w:rFonts w:ascii="TheSans UHH" w:hAnsi="TheSans UHH" w:cs="Arial"/>
          <w:sz w:val="24"/>
          <w:szCs w:val="24"/>
          <w:lang w:val="en-US"/>
        </w:rPr>
        <w:t xml:space="preserve"> (incomplete)</w:t>
      </w:r>
    </w:p>
    <w:p w:rsidR="00643467" w:rsidRPr="009134A2" w:rsidRDefault="00643467" w:rsidP="00643467">
      <w:pPr>
        <w:spacing w:before="120"/>
        <w:jc w:val="both"/>
        <w:rPr>
          <w:rFonts w:ascii="TheSans UHH" w:hAnsi="TheSans UHH" w:cs="Arial"/>
          <w:sz w:val="24"/>
          <w:szCs w:val="24"/>
          <w:lang w:val="en-US"/>
        </w:rPr>
      </w:pPr>
      <w:r w:rsidRPr="009134A2">
        <w:rPr>
          <w:rFonts w:ascii="TheSans UHH" w:hAnsi="TheSans UHH" w:cs="Arial"/>
          <w:sz w:val="24"/>
          <w:szCs w:val="24"/>
          <w:lang w:val="en-US"/>
        </w:rPr>
        <w:t xml:space="preserve">Allcott, Hunt. 2011. "Social Norms and Energy Conservation." </w:t>
      </w:r>
      <w:r w:rsidRPr="009134A2">
        <w:rPr>
          <w:rFonts w:ascii="TheSans UHH" w:hAnsi="TheSans UHH" w:cs="Arial"/>
          <w:i/>
          <w:sz w:val="24"/>
          <w:szCs w:val="24"/>
          <w:lang w:val="en-US"/>
        </w:rPr>
        <w:t>Journal of Public Economics</w:t>
      </w:r>
      <w:r w:rsidRPr="009134A2">
        <w:rPr>
          <w:rFonts w:ascii="TheSans UHH" w:hAnsi="TheSans UHH" w:cs="Arial"/>
          <w:sz w:val="24"/>
          <w:szCs w:val="24"/>
          <w:lang w:val="en-US"/>
        </w:rPr>
        <w:t>, 95(9): 1082-1095.</w:t>
      </w:r>
    </w:p>
    <w:p w:rsidR="00643467" w:rsidRPr="009134A2" w:rsidRDefault="00643467" w:rsidP="00643467">
      <w:pPr>
        <w:spacing w:before="120"/>
        <w:jc w:val="both"/>
        <w:rPr>
          <w:rFonts w:ascii="TheSans UHH" w:hAnsi="TheSans UHH" w:cs="Arial"/>
          <w:sz w:val="24"/>
          <w:szCs w:val="24"/>
          <w:lang w:val="en-US"/>
        </w:rPr>
      </w:pPr>
      <w:r w:rsidRPr="009134A2">
        <w:rPr>
          <w:rFonts w:ascii="TheSans UHH" w:hAnsi="TheSans UHH" w:cs="Arial"/>
          <w:sz w:val="24"/>
          <w:szCs w:val="24"/>
          <w:lang w:val="en-US"/>
        </w:rPr>
        <w:t>Brandon, Alec, Paul J. Ferraro, John A. List, Robert D. Metcalfe, Michael K. Price, and Florian Rundhammer, “Do the Effects of Social Nudges Persist? Theory and Evidence from 38 Natural Field Experiments,” (2017), NBER working paper #23277.</w:t>
      </w:r>
    </w:p>
    <w:p w:rsidR="00E12376" w:rsidRPr="009134A2" w:rsidRDefault="00E12376">
      <w:pPr>
        <w:rPr>
          <w:rFonts w:ascii="TheSans UHH" w:hAnsi="TheSans UHH" w:cs="Arial"/>
          <w:sz w:val="24"/>
          <w:szCs w:val="24"/>
          <w:lang w:val="en-US"/>
        </w:rPr>
      </w:pPr>
    </w:p>
    <w:p w:rsidR="00187EFA" w:rsidRPr="009134A2" w:rsidRDefault="00E12376">
      <w:pPr>
        <w:rPr>
          <w:rFonts w:ascii="TheSans UHH" w:hAnsi="TheSans UHH" w:cs="Arial"/>
          <w:b/>
          <w:sz w:val="24"/>
          <w:szCs w:val="24"/>
          <w:lang w:val="en-US"/>
        </w:rPr>
      </w:pPr>
      <w:r w:rsidRPr="009134A2">
        <w:rPr>
          <w:rFonts w:ascii="TheSans UHH" w:hAnsi="TheSans UHH" w:cs="Arial"/>
          <w:b/>
          <w:sz w:val="24"/>
          <w:szCs w:val="24"/>
          <w:lang w:val="en-US"/>
        </w:rPr>
        <w:t>Voluntary Action</w:t>
      </w:r>
    </w:p>
    <w:p w:rsidR="00643467" w:rsidRPr="009134A2" w:rsidRDefault="00A428E7" w:rsidP="00643467">
      <w:pPr>
        <w:autoSpaceDE w:val="0"/>
        <w:autoSpaceDN w:val="0"/>
        <w:adjustRightInd w:val="0"/>
        <w:spacing w:after="0" w:line="240" w:lineRule="auto"/>
        <w:rPr>
          <w:rFonts w:ascii="TheSans UHH" w:hAnsi="TheSans UHH" w:cs="Arial"/>
          <w:sz w:val="24"/>
          <w:szCs w:val="24"/>
          <w:lang w:val="en-US"/>
        </w:rPr>
      </w:pPr>
      <w:r>
        <w:rPr>
          <w:rFonts w:ascii="TheSans UHH" w:hAnsi="TheSans UHH" w:cs="Arial"/>
          <w:sz w:val="24"/>
          <w:szCs w:val="24"/>
          <w:lang w:val="en-US"/>
        </w:rPr>
        <w:t>*</w:t>
      </w:r>
      <w:r w:rsidR="00DB2D41">
        <w:rPr>
          <w:rFonts w:ascii="TheSans UHH" w:hAnsi="TheSans UHH" w:cs="Arial"/>
          <w:sz w:val="24"/>
          <w:szCs w:val="24"/>
          <w:lang w:val="en-US"/>
        </w:rPr>
        <w:t>*</w:t>
      </w:r>
      <w:r w:rsidR="00643467" w:rsidRPr="009134A2">
        <w:rPr>
          <w:rFonts w:ascii="TheSans UHH" w:hAnsi="TheSans UHH" w:cs="Arial"/>
          <w:sz w:val="24"/>
          <w:szCs w:val="24"/>
          <w:lang w:val="en-US"/>
        </w:rPr>
        <w:t>Köke, Sonja, Andreas Lange and Andreas Nicklisch, “Cooperative Protection Against Stochastic Losses: Experimental Evidence on Behavioral Dynamics”.</w:t>
      </w:r>
    </w:p>
    <w:p w:rsidR="00187EFA" w:rsidRPr="009134A2" w:rsidRDefault="00DB2D41" w:rsidP="00187EFA">
      <w:pPr>
        <w:tabs>
          <w:tab w:val="center" w:pos="1985"/>
        </w:tabs>
        <w:spacing w:before="120"/>
        <w:jc w:val="both"/>
        <w:rPr>
          <w:rFonts w:ascii="TheSans UHH" w:hAnsi="TheSans UHH" w:cs="Arial"/>
          <w:sz w:val="24"/>
          <w:szCs w:val="24"/>
          <w:lang w:val="en-US"/>
        </w:rPr>
      </w:pPr>
      <w:r>
        <w:rPr>
          <w:rFonts w:ascii="TheSans UHH" w:hAnsi="TheSans UHH" w:cs="Arial"/>
          <w:sz w:val="24"/>
          <w:szCs w:val="24"/>
          <w:lang w:val="en-US"/>
        </w:rPr>
        <w:t>*</w:t>
      </w:r>
      <w:r w:rsidR="00133893">
        <w:rPr>
          <w:rFonts w:ascii="TheSans UHH" w:hAnsi="TheSans UHH" w:cs="Arial"/>
          <w:sz w:val="24"/>
          <w:szCs w:val="24"/>
          <w:lang w:val="en-US"/>
        </w:rPr>
        <w:t>*</w:t>
      </w:r>
      <w:bookmarkStart w:id="0" w:name="_GoBack"/>
      <w:bookmarkEnd w:id="0"/>
      <w:r w:rsidR="00187EFA" w:rsidRPr="009134A2">
        <w:rPr>
          <w:rFonts w:ascii="TheSans UHH" w:hAnsi="TheSans UHH" w:cs="Arial"/>
          <w:sz w:val="24"/>
          <w:szCs w:val="24"/>
          <w:lang w:val="en-US"/>
        </w:rPr>
        <w:t>Chien-Yu Lai, Andreas Lange, John A. List, and Michael K. Price, “The Business of Business is Business: Why (Some) Firms Should Provide Public Goods when they Sell Private Goods”. NBER Working Paper 23105, 2017</w:t>
      </w:r>
      <w:r w:rsidR="004F26A3">
        <w:rPr>
          <w:rFonts w:ascii="TheSans UHH" w:hAnsi="TheSans UHH" w:cs="Arial"/>
          <w:sz w:val="24"/>
          <w:szCs w:val="24"/>
          <w:lang w:val="en-US"/>
        </w:rPr>
        <w:t>; New version 2019.</w:t>
      </w:r>
    </w:p>
    <w:p w:rsidR="00187EFA" w:rsidRPr="009134A2" w:rsidRDefault="00643467">
      <w:pPr>
        <w:rPr>
          <w:rFonts w:ascii="TheSans UHH" w:hAnsi="TheSans UHH" w:cs="Arial"/>
          <w:sz w:val="24"/>
          <w:szCs w:val="24"/>
          <w:lang w:val="en-US"/>
        </w:rPr>
      </w:pPr>
      <w:r w:rsidRPr="009134A2">
        <w:rPr>
          <w:rFonts w:ascii="TheSans UHH" w:hAnsi="TheSans UHH" w:cs="Arial"/>
          <w:sz w:val="24"/>
          <w:szCs w:val="24"/>
          <w:lang w:val="en-US"/>
        </w:rPr>
        <w:t xml:space="preserve">Landry, Craig E., Andreas Lange, John A. List, Michael K. Price, and Nicholas G. Rupp, “Towards an Understanding of the Economics of Charity: Evidence from a Field Experiment,” </w:t>
      </w:r>
      <w:r w:rsidRPr="009134A2">
        <w:rPr>
          <w:rFonts w:ascii="TheSans UHH" w:hAnsi="TheSans UHH" w:cs="Arial"/>
          <w:i/>
          <w:iCs/>
          <w:sz w:val="24"/>
          <w:szCs w:val="24"/>
          <w:lang w:val="en-US"/>
        </w:rPr>
        <w:t>Quarterly Journal of Economics</w:t>
      </w:r>
      <w:r w:rsidRPr="009134A2">
        <w:rPr>
          <w:rFonts w:ascii="TheSans UHH" w:hAnsi="TheSans UHH" w:cs="Arial"/>
          <w:sz w:val="24"/>
          <w:szCs w:val="24"/>
          <w:lang w:val="en-US"/>
        </w:rPr>
        <w:t>, 121 (2006): pp. 747-782.</w:t>
      </w:r>
    </w:p>
    <w:sectPr w:rsidR="00187EFA" w:rsidRPr="009134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 UHH">
    <w:panose1 w:val="020B0502050302020203"/>
    <w:charset w:val="00"/>
    <w:family w:val="swiss"/>
    <w:pitch w:val="variable"/>
    <w:sig w:usb0="A00002FF" w:usb1="5000E0FB" w:usb2="00000000" w:usb3="00000000" w:csb0="0000009B"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3F"/>
    <w:rsid w:val="00133893"/>
    <w:rsid w:val="001855CC"/>
    <w:rsid w:val="00187EFA"/>
    <w:rsid w:val="00203526"/>
    <w:rsid w:val="002F49DD"/>
    <w:rsid w:val="003B394A"/>
    <w:rsid w:val="004F26A3"/>
    <w:rsid w:val="00511A75"/>
    <w:rsid w:val="0061491E"/>
    <w:rsid w:val="00643467"/>
    <w:rsid w:val="006C5068"/>
    <w:rsid w:val="007D373C"/>
    <w:rsid w:val="009134A2"/>
    <w:rsid w:val="00A428E7"/>
    <w:rsid w:val="00DB2D41"/>
    <w:rsid w:val="00E12376"/>
    <w:rsid w:val="00F4773F"/>
    <w:rsid w:val="00FF07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BC35"/>
  <w15:chartTrackingRefBased/>
  <w15:docId w15:val="{EAF83132-7A01-4757-8E5E-F4E08A2F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87EFA"/>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1756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Lange</dc:creator>
  <cp:keywords/>
  <dc:description/>
  <cp:lastModifiedBy>Andreas Lange</cp:lastModifiedBy>
  <cp:revision>14</cp:revision>
  <dcterms:created xsi:type="dcterms:W3CDTF">2019-07-30T12:08:00Z</dcterms:created>
  <dcterms:modified xsi:type="dcterms:W3CDTF">2019-07-30T13:18:00Z</dcterms:modified>
</cp:coreProperties>
</file>